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70D7E">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1312;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0288;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8EE06">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59264;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42D8EE06">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14:paraId="2FA08D93">
      <w:pPr>
        <w:bidi w:val="0"/>
        <w:rPr>
          <w:rFonts w:asciiTheme="minorHAnsi" w:hAnsiTheme="minorHAnsi" w:eastAsiaTheme="minorEastAsia" w:cstheme="minorBidi"/>
          <w:kern w:val="2"/>
          <w:sz w:val="21"/>
          <w:szCs w:val="24"/>
          <w:lang w:val="en-US" w:eastAsia="zh-CN" w:bidi="ar-SA"/>
        </w:rPr>
      </w:pPr>
    </w:p>
    <w:p w14:paraId="34340010">
      <w:pPr>
        <w:bidi w:val="0"/>
        <w:rPr>
          <w:lang w:val="en-US" w:eastAsia="zh-CN"/>
        </w:rPr>
      </w:pPr>
    </w:p>
    <w:p w14:paraId="4BC40693">
      <w:pPr>
        <w:bidi w:val="0"/>
        <w:rPr>
          <w:lang w:val="en-US" w:eastAsia="zh-CN"/>
        </w:rPr>
      </w:pPr>
    </w:p>
    <w:p w14:paraId="2588F5A4">
      <w:pPr>
        <w:tabs>
          <w:tab w:val="left" w:pos="3727"/>
        </w:tabs>
        <w:bidi w:val="0"/>
        <w:jc w:val="right"/>
        <w:rPr>
          <w:rFonts w:hint="eastAsia"/>
          <w:lang w:val="en-US" w:eastAsia="zh-CN"/>
        </w:rPr>
      </w:pPr>
      <w:r>
        <w:rPr>
          <w:rFonts w:hint="eastAsia"/>
          <w:lang w:val="en-US" w:eastAsia="zh-CN"/>
        </w:rPr>
        <w:tab/>
      </w:r>
    </w:p>
    <w:p w14:paraId="3409328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14:paraId="14CD32C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3079115</wp:posOffset>
                </wp:positionH>
                <wp:positionV relativeFrom="paragraph">
                  <wp:posOffset>250825</wp:posOffset>
                </wp:positionV>
                <wp:extent cx="2747645"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2.45pt;margin-top:19.75pt;height:144pt;width:216.35pt;mso-wrap-distance-bottom:0pt;mso-wrap-distance-left:9pt;mso-wrap-distance-right:9pt;mso-wrap-distance-top:0pt;z-index:251663360;mso-width-relative:page;mso-height-relative:page;" filled="f" stroked="f" coordsize="21600,21600" o:gfxdata="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gn3FTXAAAACgEAAA8AAAAAAAAAAQAgAAAAIgAAAGRy&#10;cy9kb3ducmV2LnhtbFBLAQIUABQAAAAIAIdO4kDhCidfPwIAAGcEAAAOAAAAAAAAAAEAIAAAACYB&#10;AABkcnMvZTJvRG9jLnhtbFBLBQYAAAAABgAGAFkBAADXBQAAAAA=&#10;">
                <v:fill on="f" focussize="0,0"/>
                <v:stroke on="f" weight="0.5pt"/>
                <v:imagedata o:title=""/>
                <o:lock v:ext="edit" aspectratio="f"/>
                <v:textbox style="mso-fit-shape-to-text:t;">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v:textbox>
                <w10:wrap type="square"/>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2663825</wp:posOffset>
                </wp:positionH>
                <wp:positionV relativeFrom="paragraph">
                  <wp:posOffset>15240</wp:posOffset>
                </wp:positionV>
                <wp:extent cx="3071495"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30714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〕第8</w:t>
                            </w:r>
                            <w:r>
                              <w:rPr>
                                <w:rFonts w:hint="eastAsia" w:ascii="仿宋" w:hAnsi="仿宋" w:eastAsia="仿宋" w:cs="仿宋"/>
                                <w:sz w:val="32"/>
                                <w:szCs w:val="32"/>
                                <w:lang w:val="en-US" w:eastAsia="zh-CN"/>
                              </w:rPr>
                              <w:t>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9.75pt;margin-top:1.2pt;height:144pt;width:241.85pt;mso-wrap-distance-bottom:0pt;mso-wrap-distance-left:9pt;mso-wrap-distance-right:9pt;mso-wrap-distance-top:0pt;z-index:251662336;mso-width-relative:page;mso-height-relative:page;" filled="f" stroked="f" coordsize="21600,21600" o:gfxdata="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F5qkC1QAAAAkBAAAPAAAAAAAAAAEAIAAAACIAAABkcnMv&#10;ZG93bnJldi54bWxQSwECFAAUAAAACACHTuJAYp2BzT8CAABnBAAADgAAAAAAAAABACAAAAAkAQAA&#10;ZHJzL2Uyb0RvYy54bWxQSwUGAAAAAAYABgBZAQAA1QUAAAAA&#10;">
                <v:fill on="f" focussize="0,0"/>
                <v:stroke on="f" weight="0.5pt"/>
                <v:imagedata o:title=""/>
                <o:lock v:ext="edit" aspectratio="f"/>
                <v:textbox style="mso-fit-shape-to-text:t;">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〕第8</w:t>
                      </w:r>
                      <w:r>
                        <w:rPr>
                          <w:rFonts w:hint="eastAsia" w:ascii="仿宋" w:hAnsi="仿宋" w:eastAsia="仿宋" w:cs="仿宋"/>
                          <w:sz w:val="32"/>
                          <w:szCs w:val="32"/>
                          <w:lang w:val="en-US" w:eastAsia="zh-CN"/>
                        </w:rPr>
                        <w:t>号B类</w:t>
                      </w:r>
                    </w:p>
                  </w:txbxContent>
                </v:textbox>
                <w10:wrap type="square"/>
              </v:shape>
            </w:pict>
          </mc:Fallback>
        </mc:AlternateContent>
      </w:r>
    </w:p>
    <w:p w14:paraId="5B9DC01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14:paraId="30A226AE">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仿宋_GB2312" w:hAnsi="仿宋_GB2312" w:eastAsia="仿宋_GB2312" w:cs="仿宋_GB2312"/>
          <w:b/>
          <w:bCs/>
          <w:sz w:val="32"/>
          <w:szCs w:val="32"/>
        </w:rPr>
      </w:pPr>
    </w:p>
    <w:p w14:paraId="782E21A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方正小标宋简体" w:eastAsia="方正小标宋简体"/>
          <w:color w:val="auto"/>
          <w:sz w:val="44"/>
          <w:szCs w:val="44"/>
          <w:lang w:val="en-US" w:eastAsia="zh-CN"/>
        </w:rPr>
      </w:pPr>
      <w:r>
        <w:rPr>
          <w:rFonts w:hint="eastAsia" w:ascii="方正小标宋简体" w:eastAsia="方正小标宋简体"/>
          <w:color w:val="auto"/>
          <w:sz w:val="44"/>
          <w:szCs w:val="44"/>
        </w:rPr>
        <w:t>关于对县政协第十届</w:t>
      </w:r>
      <w:r>
        <w:rPr>
          <w:rFonts w:hint="eastAsia" w:ascii="方正小标宋简体" w:eastAsia="方正小标宋简体"/>
          <w:color w:val="auto"/>
          <w:sz w:val="44"/>
          <w:szCs w:val="44"/>
          <w:lang w:eastAsia="zh-CN"/>
        </w:rPr>
        <w:t>四</w:t>
      </w:r>
      <w:r>
        <w:rPr>
          <w:rFonts w:hint="eastAsia" w:ascii="方正小标宋简体" w:eastAsia="方正小标宋简体"/>
          <w:color w:val="auto"/>
          <w:sz w:val="44"/>
          <w:szCs w:val="44"/>
        </w:rPr>
        <w:t>次会议第1</w:t>
      </w:r>
      <w:r>
        <w:rPr>
          <w:rFonts w:hint="eastAsia" w:ascii="方正小标宋简体" w:eastAsia="方正小标宋简体"/>
          <w:color w:val="auto"/>
          <w:sz w:val="44"/>
          <w:szCs w:val="44"/>
          <w:lang w:val="en-US" w:eastAsia="zh-CN"/>
        </w:rPr>
        <w:t>12</w:t>
      </w:r>
      <w:r>
        <w:rPr>
          <w:rFonts w:hint="eastAsia" w:ascii="方正小标宋简体" w:eastAsia="方正小标宋简体"/>
          <w:color w:val="auto"/>
          <w:sz w:val="44"/>
          <w:szCs w:val="44"/>
        </w:rPr>
        <w:t>号提案的</w:t>
      </w:r>
      <w:r>
        <w:rPr>
          <w:rFonts w:hint="eastAsia" w:ascii="方正小标宋简体" w:eastAsia="方正小标宋简体"/>
          <w:color w:val="auto"/>
          <w:sz w:val="44"/>
          <w:szCs w:val="44"/>
          <w:lang w:val="en-US" w:eastAsia="zh-CN"/>
        </w:rPr>
        <w:t>会办意见</w:t>
      </w:r>
    </w:p>
    <w:p w14:paraId="3163AA8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0"/>
        <w:jc w:val="both"/>
        <w:textAlignment w:val="auto"/>
        <w:rPr>
          <w:rFonts w:hint="eastAsia" w:ascii="仿宋_GB2312" w:hAnsi="Times New Roman" w:eastAsia="仿宋_GB2312" w:cs="仿宋_GB2312"/>
          <w:i w:val="0"/>
          <w:caps w:val="0"/>
          <w:color w:val="auto"/>
          <w:spacing w:val="0"/>
          <w:kern w:val="0"/>
          <w:sz w:val="32"/>
          <w:szCs w:val="32"/>
          <w:lang w:val="en-US" w:eastAsia="zh-CN" w:bidi="ar"/>
        </w:rPr>
      </w:pPr>
    </w:p>
    <w:p w14:paraId="1955930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exact"/>
        <w:ind w:left="0" w:right="0" w:firstLine="0"/>
        <w:jc w:val="both"/>
        <w:textAlignment w:val="auto"/>
        <w:rPr>
          <w:rFonts w:ascii="仿宋_GB2312" w:hAnsi="Times New Roman" w:eastAsia="仿宋_GB2312" w:cs="仿宋_GB2312"/>
          <w:i w:val="0"/>
          <w:caps w:val="0"/>
          <w:color w:val="auto"/>
          <w:spacing w:val="0"/>
          <w:kern w:val="0"/>
          <w:sz w:val="32"/>
          <w:szCs w:val="32"/>
          <w:lang w:val="en-US" w:eastAsia="zh-CN" w:bidi="ar"/>
        </w:rPr>
      </w:pPr>
      <w:r>
        <w:rPr>
          <w:rFonts w:hint="eastAsia" w:ascii="仿宋_GB2312" w:eastAsia="仿宋_GB2312" w:cs="仿宋_GB2312"/>
          <w:i w:val="0"/>
          <w:caps w:val="0"/>
          <w:color w:val="auto"/>
          <w:spacing w:val="0"/>
          <w:kern w:val="0"/>
          <w:sz w:val="32"/>
          <w:szCs w:val="32"/>
          <w:lang w:val="en-US" w:eastAsia="zh-CN" w:bidi="ar"/>
        </w:rPr>
        <w:t>县发改局</w:t>
      </w:r>
      <w:r>
        <w:rPr>
          <w:rFonts w:ascii="仿宋_GB2312" w:hAnsi="Times New Roman" w:eastAsia="仿宋_GB2312" w:cs="仿宋_GB2312"/>
          <w:i w:val="0"/>
          <w:caps w:val="0"/>
          <w:color w:val="auto"/>
          <w:spacing w:val="0"/>
          <w:kern w:val="0"/>
          <w:sz w:val="32"/>
          <w:szCs w:val="32"/>
          <w:lang w:val="en-US" w:eastAsia="zh-CN" w:bidi="ar"/>
        </w:rPr>
        <w:t>：</w:t>
      </w:r>
    </w:p>
    <w:p w14:paraId="74482732">
      <w:pPr>
        <w:keepNext w:val="0"/>
        <w:keepLines w:val="0"/>
        <w:pageBreakBefore w:val="0"/>
        <w:widowControl w:val="0"/>
        <w:kinsoku/>
        <w:wordWrap/>
        <w:overflowPunct/>
        <w:topLinePunct w:val="0"/>
        <w:autoSpaceDE/>
        <w:autoSpaceDN/>
        <w:bidi w:val="0"/>
        <w:adjustRightInd/>
        <w:snapToGrid/>
        <w:spacing w:line="480" w:lineRule="exact"/>
        <w:ind w:left="0" w:right="0" w:firstLine="640"/>
        <w:textAlignment w:val="auto"/>
        <w:rPr>
          <w:rFonts w:hint="eastAsia" w:ascii="仿宋_GB2312" w:hAnsi="仿宋_GB2312" w:eastAsia="仿宋_GB2312" w:cs="仿宋_GB2312"/>
          <w:color w:val="auto"/>
          <w:sz w:val="32"/>
          <w:szCs w:val="32"/>
        </w:rPr>
      </w:pPr>
      <w:r>
        <w:rPr>
          <w:rFonts w:hint="eastAsia" w:ascii="仿宋_GB2312" w:eastAsia="仿宋_GB2312" w:cs="仿宋_GB2312"/>
          <w:i w:val="0"/>
          <w:caps w:val="0"/>
          <w:color w:val="auto"/>
          <w:spacing w:val="0"/>
          <w:kern w:val="0"/>
          <w:sz w:val="32"/>
          <w:szCs w:val="32"/>
          <w:lang w:val="en-US" w:eastAsia="zh-CN" w:bidi="ar"/>
        </w:rPr>
        <w:t>尹萍委员</w:t>
      </w:r>
      <w:r>
        <w:rPr>
          <w:rFonts w:hint="eastAsia" w:ascii="仿宋_GB2312" w:hAnsi="仿宋_GB2312" w:eastAsia="仿宋_GB2312" w:cs="仿宋_GB2312"/>
          <w:color w:val="auto"/>
          <w:sz w:val="32"/>
          <w:szCs w:val="32"/>
        </w:rPr>
        <w:t>提出的《</w:t>
      </w:r>
      <w:r>
        <w:rPr>
          <w:rFonts w:hint="eastAsia" w:ascii="仿宋_GB2312" w:hAnsi="Times New Roman" w:eastAsia="仿宋_GB2312" w:cs="仿宋_GB2312"/>
          <w:i w:val="0"/>
          <w:caps w:val="0"/>
          <w:color w:val="auto"/>
          <w:spacing w:val="0"/>
          <w:kern w:val="0"/>
          <w:sz w:val="32"/>
          <w:szCs w:val="32"/>
          <w:lang w:val="en-US" w:eastAsia="zh-CN" w:bidi="ar"/>
        </w:rPr>
        <w:t>关于</w:t>
      </w:r>
      <w:r>
        <w:rPr>
          <w:rFonts w:hint="eastAsia" w:ascii="仿宋_GB2312" w:eastAsia="仿宋_GB2312" w:cs="仿宋_GB2312"/>
          <w:i w:val="0"/>
          <w:caps w:val="0"/>
          <w:color w:val="auto"/>
          <w:spacing w:val="0"/>
          <w:kern w:val="0"/>
          <w:sz w:val="32"/>
          <w:szCs w:val="32"/>
          <w:lang w:val="en-US" w:eastAsia="zh-CN" w:bidi="ar"/>
        </w:rPr>
        <w:t>加快增设新能源汽车及电动摩托车（自行车）充电设施的提案</w:t>
      </w:r>
      <w:r>
        <w:rPr>
          <w:rFonts w:hint="eastAsia" w:ascii="仿宋_GB2312" w:hAnsi="仿宋_GB2312" w:eastAsia="仿宋_GB2312" w:cs="仿宋_GB2312"/>
          <w:color w:val="auto"/>
          <w:sz w:val="32"/>
          <w:szCs w:val="32"/>
        </w:rPr>
        <w:t>》已收悉。</w:t>
      </w:r>
      <w:r>
        <w:rPr>
          <w:rFonts w:hint="eastAsia" w:ascii="仿宋_GB2312" w:hAnsi="仿宋_GB2312" w:eastAsia="仿宋_GB2312" w:cs="仿宋_GB2312"/>
          <w:color w:val="auto"/>
          <w:spacing w:val="0"/>
          <w:sz w:val="32"/>
          <w:szCs w:val="32"/>
          <w:lang w:eastAsia="zh-CN"/>
        </w:rPr>
        <w:t>经研究，现提出会办意见如下：</w:t>
      </w:r>
    </w:p>
    <w:p w14:paraId="4774F434">
      <w:pPr>
        <w:pageBreakBefore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b w:val="0"/>
          <w:bCs/>
          <w:color w:val="auto"/>
          <w:kern w:val="0"/>
          <w:sz w:val="32"/>
          <w:szCs w:val="32"/>
          <w:shd w:val="clear" w:color="auto" w:fill="FFFFFF"/>
        </w:rPr>
      </w:pPr>
      <w:bookmarkStart w:id="0" w:name="_Toc440563333"/>
      <w:bookmarkStart w:id="1" w:name="_Toc21050"/>
      <w:bookmarkStart w:id="2" w:name="_Toc29422"/>
      <w:r>
        <w:rPr>
          <w:rFonts w:hint="eastAsia" w:ascii="黑体" w:hAnsi="黑体" w:eastAsia="黑体" w:cs="黑体"/>
          <w:b w:val="0"/>
          <w:bCs/>
          <w:color w:val="auto"/>
          <w:kern w:val="0"/>
          <w:sz w:val="32"/>
          <w:szCs w:val="32"/>
          <w:shd w:val="clear" w:color="auto" w:fill="FFFFFF"/>
          <w:lang w:eastAsia="zh-CN"/>
        </w:rPr>
        <w:t>一、</w:t>
      </w:r>
      <w:r>
        <w:rPr>
          <w:rFonts w:hint="eastAsia" w:ascii="黑体" w:hAnsi="黑体" w:eastAsia="黑体" w:cs="黑体"/>
          <w:b w:val="0"/>
          <w:bCs/>
          <w:color w:val="auto"/>
          <w:kern w:val="0"/>
          <w:sz w:val="32"/>
          <w:szCs w:val="32"/>
          <w:shd w:val="clear" w:color="auto" w:fill="FFFFFF"/>
        </w:rPr>
        <w:t>目前存在的问题与挑战</w:t>
      </w:r>
      <w:bookmarkEnd w:id="0"/>
      <w:bookmarkEnd w:id="1"/>
      <w:bookmarkEnd w:id="2"/>
    </w:p>
    <w:p w14:paraId="269420BC">
      <w:pPr>
        <w:pageBreakBefore w:val="0"/>
        <w:kinsoku/>
        <w:wordWrap/>
        <w:overflowPunct/>
        <w:topLinePunct w:val="0"/>
        <w:autoSpaceDE/>
        <w:autoSpaceDN/>
        <w:bidi w:val="0"/>
        <w:adjustRightInd/>
        <w:snapToGrid/>
        <w:spacing w:line="480" w:lineRule="exact"/>
        <w:ind w:firstLine="280" w:firstLineChars="1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28"/>
          <w:szCs w:val="28"/>
          <w:shd w:val="clear" w:color="auto" w:fill="FFFFFF"/>
        </w:rPr>
        <w:t>　</w:t>
      </w:r>
      <w:r>
        <w:rPr>
          <w:rFonts w:hint="eastAsia" w:ascii="楷体" w:hAnsi="楷体" w:eastAsia="楷体" w:cs="楷体"/>
          <w:b/>
          <w:bCs w:val="0"/>
          <w:color w:val="auto"/>
          <w:kern w:val="0"/>
          <w:sz w:val="32"/>
          <w:szCs w:val="32"/>
          <w:shd w:val="clear" w:color="auto" w:fill="FFFFFF"/>
          <w:lang w:val="en-US" w:eastAsia="zh-CN"/>
        </w:rPr>
        <w:t>（一）</w:t>
      </w:r>
      <w:r>
        <w:rPr>
          <w:rFonts w:hint="eastAsia" w:ascii="楷体" w:hAnsi="楷体" w:eastAsia="楷体" w:cs="楷体"/>
          <w:b/>
          <w:bCs w:val="0"/>
          <w:color w:val="auto"/>
          <w:kern w:val="0"/>
          <w:sz w:val="32"/>
          <w:szCs w:val="32"/>
          <w:shd w:val="clear" w:color="auto" w:fill="FFFFFF"/>
        </w:rPr>
        <w:t>充电基础设施布局及利用情况不理想。</w:t>
      </w:r>
      <w:r>
        <w:rPr>
          <w:rFonts w:hint="eastAsia" w:ascii="仿宋" w:hAnsi="仿宋" w:eastAsia="仿宋" w:cs="仿宋"/>
          <w:bCs/>
          <w:color w:val="auto"/>
          <w:kern w:val="0"/>
          <w:sz w:val="32"/>
          <w:szCs w:val="32"/>
          <w:shd w:val="clear" w:color="auto" w:fill="FFFFFF"/>
        </w:rPr>
        <w:t>一方面，电动汽车增长较快，但充电基础设施建设规模不足，难以满足充电需求。另一方面，由于配套政策不完善、资金投入不足、宣传力度不够、充电基础设施布局不合理、设施通用性较差等原因，用户对电动汽车接受程度不高，存在充电基础设施利用率较低甚至长期闲置情况。现有充电设施基本以企业自用为主，未向社会开放。</w:t>
      </w:r>
    </w:p>
    <w:p w14:paraId="12AC987C">
      <w:pPr>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Cs/>
          <w:color w:val="auto"/>
          <w:kern w:val="0"/>
          <w:sz w:val="32"/>
          <w:szCs w:val="32"/>
          <w:shd w:val="clear" w:color="auto" w:fill="FFFFFF"/>
        </w:rPr>
      </w:pPr>
      <w:r>
        <w:rPr>
          <w:rFonts w:hint="eastAsia" w:ascii="楷体" w:hAnsi="楷体" w:eastAsia="楷体" w:cs="楷体"/>
          <w:b/>
          <w:bCs w:val="0"/>
          <w:color w:val="auto"/>
          <w:kern w:val="0"/>
          <w:sz w:val="32"/>
          <w:szCs w:val="32"/>
          <w:shd w:val="clear" w:color="auto" w:fill="FFFFFF"/>
          <w:lang w:val="en-US" w:eastAsia="zh-CN"/>
        </w:rPr>
        <w:t>（二）建设实施难度较大。</w:t>
      </w:r>
      <w:r>
        <w:rPr>
          <w:rFonts w:hint="eastAsia" w:ascii="仿宋" w:hAnsi="仿宋" w:eastAsia="仿宋" w:cs="仿宋"/>
          <w:bCs/>
          <w:color w:val="auto"/>
          <w:kern w:val="0"/>
          <w:sz w:val="32"/>
          <w:szCs w:val="32"/>
          <w:shd w:val="clear" w:color="auto" w:fill="FFFFFF"/>
        </w:rPr>
        <w:t>充电基础设施建设涉及规划、用地、消防、电力、物业、群众等多个方面，利益主体分散，协调难度较大。在私人乘用车领域，大量停车位不固定的用户不具备安装条件；在城市公共领域，核心地区土地资源紧张，用地难以保障；在城际快充领域，一些高速服务区不愿或无法提供充电站用地，需要重新征地。此外，充电基础设施涉及公共电网、用户侧电力设施、道路管线等改造，需要的电力容量大、改造工程大，增加了建设难度。</w:t>
      </w:r>
    </w:p>
    <w:p w14:paraId="42356852">
      <w:pPr>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Cs/>
          <w:color w:val="auto"/>
          <w:kern w:val="0"/>
          <w:sz w:val="32"/>
          <w:szCs w:val="32"/>
          <w:shd w:val="clear" w:color="auto" w:fill="FFFFFF"/>
        </w:rPr>
      </w:pPr>
      <w:r>
        <w:rPr>
          <w:rFonts w:hint="eastAsia" w:ascii="楷体" w:hAnsi="楷体" w:eastAsia="楷体" w:cs="楷体"/>
          <w:b/>
          <w:bCs w:val="0"/>
          <w:color w:val="auto"/>
          <w:kern w:val="0"/>
          <w:sz w:val="32"/>
          <w:szCs w:val="32"/>
          <w:shd w:val="clear" w:color="auto" w:fill="FFFFFF"/>
          <w:lang w:val="en-US" w:eastAsia="zh-CN"/>
        </w:rPr>
        <w:t>（三）成熟商业模式尚未形成。</w:t>
      </w:r>
      <w:r>
        <w:rPr>
          <w:rFonts w:hint="eastAsia" w:ascii="仿宋" w:hAnsi="仿宋" w:eastAsia="仿宋" w:cs="仿宋"/>
          <w:bCs/>
          <w:color w:val="auto"/>
          <w:kern w:val="0"/>
          <w:sz w:val="32"/>
          <w:szCs w:val="32"/>
          <w:shd w:val="clear" w:color="auto" w:fill="FFFFFF"/>
        </w:rPr>
        <w:t>目前</w:t>
      </w:r>
      <w:r>
        <w:rPr>
          <w:rFonts w:hint="eastAsia" w:ascii="仿宋" w:hAnsi="仿宋" w:eastAsia="仿宋" w:cs="仿宋"/>
          <w:bCs/>
          <w:color w:val="auto"/>
          <w:kern w:val="0"/>
          <w:sz w:val="32"/>
          <w:szCs w:val="32"/>
          <w:shd w:val="clear" w:color="auto" w:fill="FFFFFF"/>
          <w:lang w:eastAsia="zh-CN"/>
        </w:rPr>
        <w:t>龙山县</w:t>
      </w:r>
      <w:r>
        <w:rPr>
          <w:rFonts w:hint="eastAsia" w:ascii="仿宋" w:hAnsi="仿宋" w:eastAsia="仿宋" w:cs="仿宋"/>
          <w:bCs/>
          <w:color w:val="auto"/>
          <w:kern w:val="0"/>
          <w:sz w:val="32"/>
          <w:szCs w:val="32"/>
          <w:shd w:val="clear" w:color="auto" w:fill="FFFFFF"/>
        </w:rPr>
        <w:t>和相关企业通过实行融资租赁、特许经营权质押、峰谷电价、充电服务费、拓展电子商务和广告等措施，在商业模式探索方面取得一定进展，但行业整体仍处于微利甚至亏损水平，尚未形成可大规模应用推广的成熟商业模式。龙山县目前还处于探索阶段，并未进入实质性建设阶段，相关投资来源、比例及长期经营方式暂未明确。</w:t>
      </w:r>
    </w:p>
    <w:p w14:paraId="6EC8C1C5">
      <w:pPr>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Cs/>
          <w:color w:val="auto"/>
          <w:kern w:val="0"/>
          <w:sz w:val="32"/>
          <w:szCs w:val="32"/>
          <w:shd w:val="clear" w:color="auto" w:fill="FFFFFF"/>
        </w:rPr>
      </w:pPr>
      <w:r>
        <w:rPr>
          <w:rFonts w:hint="eastAsia" w:ascii="楷体" w:hAnsi="楷体" w:eastAsia="楷体" w:cs="楷体"/>
          <w:b/>
          <w:bCs w:val="0"/>
          <w:color w:val="auto"/>
          <w:kern w:val="0"/>
          <w:sz w:val="32"/>
          <w:szCs w:val="32"/>
          <w:shd w:val="clear" w:color="auto" w:fill="FFFFFF"/>
          <w:lang w:val="en-US" w:eastAsia="zh-CN"/>
        </w:rPr>
        <w:t>（四）标准规范体系执行不严格。</w:t>
      </w:r>
      <w:r>
        <w:rPr>
          <w:rFonts w:hint="eastAsia" w:ascii="仿宋" w:hAnsi="仿宋" w:eastAsia="仿宋" w:cs="仿宋"/>
          <w:bCs/>
          <w:color w:val="auto"/>
          <w:kern w:val="0"/>
          <w:sz w:val="32"/>
          <w:szCs w:val="32"/>
          <w:shd w:val="clear" w:color="auto" w:fill="FFFFFF"/>
        </w:rPr>
        <w:t>国家现有电动汽车充电设施技术标准58项，已发布29项。部分技术标准尚未严格执行，导致我</w:t>
      </w:r>
      <w:r>
        <w:rPr>
          <w:rFonts w:hint="eastAsia" w:ascii="仿宋" w:hAnsi="仿宋" w:eastAsia="仿宋" w:cs="仿宋"/>
          <w:bCs/>
          <w:color w:val="auto"/>
          <w:kern w:val="0"/>
          <w:sz w:val="32"/>
          <w:szCs w:val="32"/>
          <w:shd w:val="clear" w:color="auto" w:fill="FFFFFF"/>
          <w:lang w:eastAsia="zh-CN"/>
        </w:rPr>
        <w:t>县</w:t>
      </w:r>
      <w:r>
        <w:rPr>
          <w:rFonts w:hint="eastAsia" w:ascii="仿宋" w:hAnsi="仿宋" w:eastAsia="仿宋" w:cs="仿宋"/>
          <w:bCs/>
          <w:color w:val="auto"/>
          <w:kern w:val="0"/>
          <w:sz w:val="32"/>
          <w:szCs w:val="32"/>
          <w:shd w:val="clear" w:color="auto" w:fill="FFFFFF"/>
        </w:rPr>
        <w:t>充电基础设施市场准入门槛低、设备品质良莠不齐、与不同电动汽车不兼容等一系列问题，且存在一定的安全隐患。充电设施未纳入统一平台管理，“车-</w:t>
      </w:r>
      <w:bookmarkStart w:id="6" w:name="_GoBack"/>
      <w:bookmarkEnd w:id="6"/>
      <w:r>
        <w:rPr>
          <w:rFonts w:hint="eastAsia" w:ascii="仿宋" w:hAnsi="仿宋" w:eastAsia="仿宋" w:cs="仿宋"/>
          <w:bCs/>
          <w:color w:val="auto"/>
          <w:kern w:val="0"/>
          <w:sz w:val="32"/>
          <w:szCs w:val="32"/>
          <w:shd w:val="clear" w:color="auto" w:fill="FFFFFF"/>
        </w:rPr>
        <w:t>桩”智慧双向交互系统未建立，未纳入全国充电网络系统。</w:t>
      </w:r>
    </w:p>
    <w:p w14:paraId="6990E473">
      <w:pPr>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Cs/>
          <w:color w:val="auto"/>
          <w:kern w:val="0"/>
          <w:sz w:val="32"/>
          <w:szCs w:val="32"/>
          <w:shd w:val="clear" w:color="auto" w:fill="FFFFFF"/>
          <w:lang w:eastAsia="zh-CN"/>
        </w:rPr>
      </w:pPr>
      <w:r>
        <w:rPr>
          <w:rFonts w:hint="eastAsia" w:ascii="楷体" w:hAnsi="楷体" w:eastAsia="楷体" w:cs="楷体"/>
          <w:b/>
          <w:bCs w:val="0"/>
          <w:color w:val="auto"/>
          <w:kern w:val="0"/>
          <w:sz w:val="32"/>
          <w:szCs w:val="32"/>
          <w:shd w:val="clear" w:color="auto" w:fill="FFFFFF"/>
          <w:lang w:val="en-US" w:eastAsia="zh-CN"/>
        </w:rPr>
        <w:t>（五）配套支持政策仍需加强。</w:t>
      </w:r>
      <w:r>
        <w:rPr>
          <w:rFonts w:hint="eastAsia" w:ascii="仿宋" w:hAnsi="仿宋" w:eastAsia="仿宋" w:cs="仿宋"/>
          <w:bCs/>
          <w:color w:val="auto"/>
          <w:kern w:val="0"/>
          <w:sz w:val="32"/>
          <w:szCs w:val="32"/>
          <w:shd w:val="clear" w:color="auto" w:fill="FFFFFF"/>
        </w:rPr>
        <w:t>仍然存在城市建设、用地和配电网改造等相关规划考虑不足、财税支持力度不大、对居民小区和社会停车场等安装困难的场所协调推动不够等政策性问题</w:t>
      </w:r>
      <w:r>
        <w:rPr>
          <w:rFonts w:hint="eastAsia" w:ascii="仿宋" w:hAnsi="仿宋" w:eastAsia="仿宋" w:cs="仿宋"/>
          <w:bCs/>
          <w:color w:val="auto"/>
          <w:kern w:val="0"/>
          <w:sz w:val="32"/>
          <w:szCs w:val="32"/>
          <w:shd w:val="clear" w:color="auto" w:fill="FFFFFF"/>
          <w:lang w:eastAsia="zh-CN"/>
        </w:rPr>
        <w:t>。</w:t>
      </w:r>
    </w:p>
    <w:p w14:paraId="5B5727D0">
      <w:pPr>
        <w:pageBreakBefore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val="0"/>
          <w:color w:val="auto"/>
          <w:kern w:val="0"/>
          <w:sz w:val="32"/>
          <w:szCs w:val="32"/>
          <w:shd w:val="clear" w:color="auto" w:fill="FFFFFF"/>
          <w:lang w:val="en-US" w:eastAsia="zh-CN"/>
        </w:rPr>
      </w:pPr>
      <w:r>
        <w:rPr>
          <w:rFonts w:hint="eastAsia" w:ascii="黑体" w:hAnsi="黑体" w:eastAsia="黑体" w:cs="黑体"/>
          <w:b w:val="0"/>
          <w:bCs w:val="0"/>
          <w:color w:val="auto"/>
          <w:kern w:val="0"/>
          <w:sz w:val="32"/>
          <w:szCs w:val="32"/>
          <w:shd w:val="clear" w:color="auto" w:fill="FFFFFF"/>
          <w:lang w:eastAsia="zh-CN"/>
        </w:rPr>
        <w:t>二、高度重视充电桩基础设施建设</w:t>
      </w:r>
      <w:r>
        <w:rPr>
          <w:rFonts w:hint="eastAsia" w:ascii="黑体" w:hAnsi="黑体" w:eastAsia="黑体" w:cs="黑体"/>
          <w:b w:val="0"/>
          <w:bCs w:val="0"/>
          <w:color w:val="auto"/>
          <w:kern w:val="0"/>
          <w:sz w:val="32"/>
          <w:szCs w:val="32"/>
          <w:shd w:val="clear" w:color="auto" w:fill="FFFFFF"/>
          <w:lang w:val="en-US" w:eastAsia="zh-CN"/>
        </w:rPr>
        <w:t xml:space="preserve"> </w:t>
      </w:r>
    </w:p>
    <w:p w14:paraId="34C0768C">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 w:val="0"/>
          <w:bCs/>
          <w:color w:val="auto"/>
        </w:rPr>
      </w:pPr>
      <w:r>
        <w:rPr>
          <w:rFonts w:hint="eastAsia" w:ascii="仿宋" w:hAnsi="仿宋" w:eastAsia="仿宋" w:cs="仿宋"/>
          <w:b w:val="0"/>
          <w:bCs/>
          <w:i w:val="0"/>
          <w:caps w:val="0"/>
          <w:color w:val="auto"/>
          <w:spacing w:val="0"/>
          <w:kern w:val="0"/>
          <w:sz w:val="32"/>
          <w:szCs w:val="32"/>
          <w:lang w:val="en-US" w:eastAsia="zh-CN" w:bidi="ar"/>
        </w:rPr>
        <w:t>近年来，县人民政府坚持以人民为中心的发展思想，高度重视充电桩设施的发展，大力促进了新能源汽车的推广使用。目前有客车充电站3个、公共充电桩48个、出租车充电站达到5个、环卫物流充电站达到2个、城市公共充电站达到1个，城际充电站达到25个、公共充电桩达到336个。</w:t>
      </w:r>
    </w:p>
    <w:p w14:paraId="19E56A0E">
      <w:pPr>
        <w:pageBreakBefore w:val="0"/>
        <w:kinsoku/>
        <w:wordWrap/>
        <w:overflowPunct/>
        <w:topLinePunct w:val="0"/>
        <w:autoSpaceDE/>
        <w:autoSpaceDN/>
        <w:bidi w:val="0"/>
        <w:adjustRightInd/>
        <w:snapToGrid/>
        <w:spacing w:line="480" w:lineRule="exact"/>
        <w:ind w:firstLine="840" w:firstLineChars="300"/>
        <w:textAlignment w:val="auto"/>
        <w:rPr>
          <w:rFonts w:hint="eastAsia" w:ascii="黑体" w:hAnsi="黑体" w:eastAsia="黑体" w:cs="黑体"/>
          <w:b w:val="0"/>
          <w:bCs/>
          <w:color w:val="auto"/>
          <w:kern w:val="0"/>
          <w:sz w:val="28"/>
          <w:szCs w:val="28"/>
          <w:shd w:val="clear" w:color="auto" w:fill="FFFFFF"/>
        </w:rPr>
      </w:pPr>
      <w:bookmarkStart w:id="3" w:name="_Toc13662"/>
      <w:bookmarkStart w:id="4" w:name="_Toc26300"/>
      <w:bookmarkStart w:id="5" w:name="_Toc440563335"/>
      <w:r>
        <w:rPr>
          <w:rFonts w:hint="eastAsia" w:ascii="黑体" w:hAnsi="黑体" w:eastAsia="黑体" w:cs="黑体"/>
          <w:b w:val="0"/>
          <w:bCs/>
          <w:color w:val="auto"/>
          <w:kern w:val="0"/>
          <w:sz w:val="28"/>
          <w:szCs w:val="28"/>
          <w:shd w:val="clear" w:color="auto" w:fill="FFFFFF"/>
          <w:lang w:eastAsia="zh-CN"/>
        </w:rPr>
        <w:t>三、</w:t>
      </w:r>
      <w:r>
        <w:rPr>
          <w:rFonts w:hint="eastAsia" w:ascii="黑体" w:hAnsi="黑体" w:eastAsia="黑体" w:cs="黑体"/>
          <w:b w:val="0"/>
          <w:bCs/>
          <w:color w:val="auto"/>
          <w:kern w:val="0"/>
          <w:sz w:val="32"/>
          <w:szCs w:val="32"/>
          <w:shd w:val="clear" w:color="auto" w:fill="FFFFFF"/>
        </w:rPr>
        <w:t>规划建设思路</w:t>
      </w:r>
      <w:bookmarkEnd w:id="3"/>
    </w:p>
    <w:p w14:paraId="71AB8EDE">
      <w:pPr>
        <w:pageBreakBefore w:val="0"/>
        <w:kinsoku/>
        <w:wordWrap/>
        <w:overflowPunct/>
        <w:topLinePunct w:val="0"/>
        <w:autoSpaceDE/>
        <w:autoSpaceDN/>
        <w:bidi w:val="0"/>
        <w:adjustRightInd/>
        <w:snapToGrid/>
        <w:spacing w:line="480" w:lineRule="exact"/>
        <w:ind w:firstLine="643" w:firstLineChars="200"/>
        <w:textAlignment w:val="auto"/>
        <w:rPr>
          <w:rFonts w:hint="eastAsia" w:ascii="楷体" w:hAnsi="楷体" w:eastAsia="楷体" w:cs="楷体"/>
          <w:b/>
          <w:bCs w:val="0"/>
          <w:color w:val="auto"/>
          <w:kern w:val="0"/>
          <w:sz w:val="32"/>
          <w:szCs w:val="32"/>
          <w:shd w:val="clear" w:color="auto" w:fill="FFFFFF"/>
          <w:lang w:val="en-US" w:eastAsia="zh-CN"/>
        </w:rPr>
      </w:pPr>
      <w:r>
        <w:rPr>
          <w:rFonts w:hint="eastAsia" w:ascii="楷体" w:hAnsi="楷体" w:eastAsia="楷体" w:cs="楷体"/>
          <w:b/>
          <w:bCs w:val="0"/>
          <w:color w:val="auto"/>
          <w:kern w:val="0"/>
          <w:sz w:val="32"/>
          <w:szCs w:val="32"/>
          <w:shd w:val="clear" w:color="auto" w:fill="FFFFFF"/>
          <w:lang w:val="en-US" w:eastAsia="zh-CN"/>
        </w:rPr>
        <w:t>（一）依托公交车、出租车项目发展电动服务市场</w:t>
      </w:r>
    </w:p>
    <w:p w14:paraId="01E0281C">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32"/>
          <w:szCs w:val="32"/>
          <w:shd w:val="clear" w:color="auto" w:fill="FFFFFF"/>
        </w:rPr>
        <w:t>公交车、出租车是典型的运行稳定、需求刚性的运输行业，适合作为启动、推广龙山县电动汽车服务市场项目的经营载体。</w:t>
      </w:r>
    </w:p>
    <w:p w14:paraId="47A34CF8">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32"/>
          <w:szCs w:val="32"/>
          <w:shd w:val="clear" w:color="auto" w:fill="FFFFFF"/>
        </w:rPr>
        <w:t>在龙山县中心区域或者城乡结合部，建设4—6个安装充电桩的大型停车场，作为公交车终点站、中继站、出租车夜晚停靠补给站。除了满足电动公交车、出租车充电以外，还以签约优惠的方式，引导环卫、物流、旅游等特种车辆的逐步电动化。实行对外开放服务，满足各个领域社会汽车充电需求，逐步把市场做优做大。</w:t>
      </w:r>
    </w:p>
    <w:p w14:paraId="3B1E429E">
      <w:pPr>
        <w:pageBreakBefore w:val="0"/>
        <w:kinsoku/>
        <w:wordWrap/>
        <w:overflowPunct/>
        <w:topLinePunct w:val="0"/>
        <w:autoSpaceDE/>
        <w:autoSpaceDN/>
        <w:bidi w:val="0"/>
        <w:adjustRightInd/>
        <w:snapToGrid/>
        <w:spacing w:line="480" w:lineRule="exact"/>
        <w:ind w:firstLine="643" w:firstLineChars="200"/>
        <w:textAlignment w:val="auto"/>
        <w:rPr>
          <w:rFonts w:hint="eastAsia" w:ascii="楷体" w:hAnsi="楷体" w:eastAsia="楷体" w:cs="楷体"/>
          <w:b/>
          <w:bCs w:val="0"/>
          <w:color w:val="auto"/>
          <w:kern w:val="0"/>
          <w:sz w:val="32"/>
          <w:szCs w:val="32"/>
          <w:shd w:val="clear" w:color="auto" w:fill="FFFFFF"/>
          <w:lang w:val="en-US" w:eastAsia="zh-CN"/>
        </w:rPr>
      </w:pPr>
      <w:r>
        <w:rPr>
          <w:rFonts w:hint="eastAsia" w:ascii="楷体" w:hAnsi="楷体" w:eastAsia="楷体" w:cs="楷体"/>
          <w:b/>
          <w:bCs w:val="0"/>
          <w:color w:val="auto"/>
          <w:kern w:val="0"/>
          <w:sz w:val="32"/>
          <w:szCs w:val="32"/>
          <w:shd w:val="clear" w:color="auto" w:fill="FFFFFF"/>
          <w:lang w:val="en-US" w:eastAsia="zh-CN"/>
        </w:rPr>
        <w:t>（二）建设龙山—里耶电动汽车服务通道</w:t>
      </w:r>
    </w:p>
    <w:p w14:paraId="0FECECE0">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32"/>
          <w:szCs w:val="32"/>
          <w:shd w:val="clear" w:color="auto" w:fill="FFFFFF"/>
        </w:rPr>
        <w:t>在龙山高铁站、城乡公交站、客运站、乌龙山大峡谷景区、惹巴拉景区、里耶景区建设旅游交通电动汽车充电站，服务旅游大巴、城乡公交、物流车辆、自驾游电动车。</w:t>
      </w:r>
    </w:p>
    <w:p w14:paraId="1B053779">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32"/>
          <w:szCs w:val="32"/>
          <w:shd w:val="clear" w:color="auto" w:fill="FFFFFF"/>
        </w:rPr>
        <w:t>龙山县区电动汽车充电社会服务网络建成后，结合龙山县充电基础设施对接支撑，电动车一小时车程之内，将覆盖100万以上人口、10多个4A景区、高铁高速机场交通网络，将打造成龙山——里耶电动汽车服务黄金通道格局，区域内电动汽车市场将得到蓬勃发展。</w:t>
      </w:r>
    </w:p>
    <w:p w14:paraId="3B49F685">
      <w:pPr>
        <w:pageBreakBefore w:val="0"/>
        <w:kinsoku/>
        <w:wordWrap/>
        <w:overflowPunct/>
        <w:topLinePunct w:val="0"/>
        <w:autoSpaceDE/>
        <w:autoSpaceDN/>
        <w:bidi w:val="0"/>
        <w:adjustRightInd/>
        <w:snapToGrid/>
        <w:spacing w:line="480" w:lineRule="exact"/>
        <w:ind w:firstLine="643" w:firstLineChars="200"/>
        <w:textAlignment w:val="auto"/>
        <w:rPr>
          <w:rFonts w:hint="eastAsia" w:ascii="楷体" w:hAnsi="楷体" w:eastAsia="楷体" w:cs="楷体"/>
          <w:b/>
          <w:bCs w:val="0"/>
          <w:color w:val="auto"/>
          <w:kern w:val="0"/>
          <w:sz w:val="32"/>
          <w:szCs w:val="32"/>
          <w:shd w:val="clear" w:color="auto" w:fill="FFFFFF"/>
          <w:lang w:val="en-US" w:eastAsia="zh-CN"/>
        </w:rPr>
      </w:pPr>
      <w:r>
        <w:rPr>
          <w:rFonts w:hint="eastAsia" w:ascii="楷体" w:hAnsi="楷体" w:eastAsia="楷体" w:cs="楷体"/>
          <w:b/>
          <w:bCs w:val="0"/>
          <w:color w:val="auto"/>
          <w:kern w:val="0"/>
          <w:sz w:val="32"/>
          <w:szCs w:val="32"/>
          <w:shd w:val="clear" w:color="auto" w:fill="FFFFFF"/>
          <w:lang w:val="en-US" w:eastAsia="zh-CN"/>
        </w:rPr>
        <w:t>（三）规划实施“公共交通电动化”交通发展战略</w:t>
      </w:r>
    </w:p>
    <w:p w14:paraId="1DECC7D6">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auto"/>
          <w:kern w:val="0"/>
          <w:sz w:val="32"/>
          <w:szCs w:val="32"/>
          <w:shd w:val="clear" w:color="auto" w:fill="FFFFFF"/>
        </w:rPr>
      </w:pPr>
      <w:r>
        <w:rPr>
          <w:rFonts w:hint="eastAsia" w:ascii="仿宋" w:hAnsi="仿宋" w:eastAsia="仿宋" w:cs="仿宋"/>
          <w:bCs/>
          <w:color w:val="auto"/>
          <w:kern w:val="0"/>
          <w:sz w:val="32"/>
          <w:szCs w:val="32"/>
          <w:shd w:val="clear" w:color="auto" w:fill="FFFFFF"/>
        </w:rPr>
        <w:t>前期经营项目启动后，促成龙山县政府与国网湖南电动汽车公司共同打造“龙山公共交通电动化”（龙山县电动汽车建设专项规划）战略。龙山县所有电动汽车充电基础设施投资、建设和运营，统一“国家电网”品牌。加大投资力度，龙山县电动汽车项目建设总体投资规模在3亿元以上，开展全市公交车、出租网约车、旅游客车、居民电动汽车等融资租售服务，满足相关方和广大市民的购车需求，助推龙山县电动汽车推广应用。</w:t>
      </w:r>
    </w:p>
    <w:bookmarkEnd w:id="4"/>
    <w:bookmarkEnd w:id="5"/>
    <w:p w14:paraId="78C9F139">
      <w:pPr>
        <w:pageBreakBefore w:val="0"/>
        <w:numPr>
          <w:ilvl w:val="0"/>
          <w:numId w:val="2"/>
        </w:numPr>
        <w:kinsoku/>
        <w:wordWrap/>
        <w:overflowPunct/>
        <w:topLinePunct w:val="0"/>
        <w:autoSpaceDE/>
        <w:autoSpaceDN/>
        <w:bidi w:val="0"/>
        <w:adjustRightInd/>
        <w:snapToGrid/>
        <w:spacing w:line="480" w:lineRule="exact"/>
        <w:ind w:firstLine="643" w:firstLineChars="200"/>
        <w:textAlignment w:val="auto"/>
        <w:rPr>
          <w:rFonts w:hint="eastAsia" w:ascii="楷体" w:hAnsi="楷体" w:eastAsia="楷体" w:cs="楷体"/>
          <w:b/>
          <w:bCs w:val="0"/>
          <w:color w:val="auto"/>
          <w:kern w:val="0"/>
          <w:sz w:val="32"/>
          <w:szCs w:val="32"/>
          <w:shd w:val="clear" w:color="auto" w:fill="FFFFFF"/>
          <w:lang w:val="en-US" w:eastAsia="zh-CN"/>
        </w:rPr>
      </w:pPr>
      <w:r>
        <w:rPr>
          <w:rFonts w:hint="eastAsia" w:ascii="楷体" w:hAnsi="楷体" w:eastAsia="楷体" w:cs="楷体"/>
          <w:b/>
          <w:bCs w:val="0"/>
          <w:color w:val="auto"/>
          <w:kern w:val="0"/>
          <w:sz w:val="32"/>
          <w:szCs w:val="32"/>
          <w:shd w:val="clear" w:color="auto" w:fill="FFFFFF"/>
          <w:lang w:val="en-US" w:eastAsia="zh-CN"/>
        </w:rPr>
        <w:t>结合城市更新，推动电动车充电桩（站）发展</w:t>
      </w:r>
    </w:p>
    <w:p w14:paraId="5B697CBB">
      <w:pPr>
        <w:pageBreakBefore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i w:val="0"/>
          <w:iCs w:val="0"/>
          <w:caps w:val="0"/>
          <w:color w:val="auto"/>
          <w:spacing w:val="0"/>
          <w:sz w:val="32"/>
          <w:szCs w:val="32"/>
        </w:rPr>
      </w:pPr>
      <w:r>
        <w:rPr>
          <w:rFonts w:hint="eastAsia" w:ascii="仿宋" w:hAnsi="仿宋" w:eastAsia="仿宋" w:cs="仿宋"/>
          <w:bCs/>
          <w:color w:val="auto"/>
          <w:kern w:val="0"/>
          <w:sz w:val="32"/>
          <w:szCs w:val="32"/>
          <w:shd w:val="clear" w:color="auto" w:fill="FFFFFF"/>
          <w:lang w:eastAsia="zh-CN"/>
        </w:rPr>
        <w:t>结合城市更新项目，一体化推进老城区、老旧小区电动车充电站</w:t>
      </w:r>
      <w:r>
        <w:rPr>
          <w:rFonts w:hint="eastAsia" w:ascii="仿宋" w:hAnsi="仿宋" w:eastAsia="仿宋" w:cs="仿宋"/>
          <w:bCs/>
          <w:color w:val="auto"/>
          <w:kern w:val="0"/>
          <w:sz w:val="32"/>
          <w:szCs w:val="32"/>
          <w:shd w:val="clear" w:color="auto" w:fill="FFFFFF"/>
        </w:rPr>
        <w:t>基础设施投资、建设和运营</w:t>
      </w:r>
      <w:r>
        <w:rPr>
          <w:rFonts w:hint="eastAsia" w:ascii="仿宋" w:hAnsi="仿宋" w:eastAsia="仿宋" w:cs="仿宋"/>
          <w:bCs/>
          <w:color w:val="auto"/>
          <w:kern w:val="0"/>
          <w:sz w:val="32"/>
          <w:szCs w:val="32"/>
          <w:shd w:val="clear" w:color="auto" w:fill="FFFFFF"/>
          <w:lang w:eastAsia="zh-CN"/>
        </w:rPr>
        <w:t>。联合社区、业主委员会、物业管理企业</w:t>
      </w:r>
      <w:r>
        <w:rPr>
          <w:rFonts w:hint="eastAsia" w:ascii="仿宋" w:hAnsi="仿宋" w:eastAsia="仿宋" w:cs="仿宋"/>
          <w:i w:val="0"/>
          <w:iCs w:val="0"/>
          <w:caps w:val="0"/>
          <w:color w:val="auto"/>
          <w:spacing w:val="0"/>
          <w:kern w:val="0"/>
          <w:sz w:val="32"/>
          <w:szCs w:val="32"/>
          <w:shd w:val="clear" w:fill="FFFFFF"/>
          <w:lang w:val="en-US" w:eastAsia="zh-CN" w:bidi="ar"/>
        </w:rPr>
        <w:t>科学选址充电桩（站），引导消除群众顾虑</w:t>
      </w:r>
      <w:r>
        <w:rPr>
          <w:rFonts w:hint="eastAsia" w:ascii="仿宋" w:hAnsi="仿宋" w:eastAsia="仿宋" w:cs="仿宋"/>
          <w:i w:val="0"/>
          <w:iCs w:val="0"/>
          <w:caps w:val="0"/>
          <w:color w:val="auto"/>
          <w:spacing w:val="0"/>
          <w:sz w:val="32"/>
          <w:szCs w:val="32"/>
          <w:shd w:val="clear" w:fill="FFFFFF"/>
        </w:rPr>
        <w:t>并在充电桩</w:t>
      </w:r>
      <w:r>
        <w:rPr>
          <w:rFonts w:hint="eastAsia" w:ascii="仿宋" w:hAnsi="仿宋" w:eastAsia="仿宋" w:cs="仿宋"/>
          <w:i w:val="0"/>
          <w:iCs w:val="0"/>
          <w:caps w:val="0"/>
          <w:color w:val="auto"/>
          <w:spacing w:val="0"/>
          <w:sz w:val="32"/>
          <w:szCs w:val="32"/>
          <w:shd w:val="clear" w:fill="FFFFFF"/>
          <w:lang w:eastAsia="zh-CN"/>
        </w:rPr>
        <w:t>（站）</w:t>
      </w:r>
      <w:r>
        <w:rPr>
          <w:rFonts w:hint="eastAsia" w:ascii="仿宋" w:hAnsi="仿宋" w:eastAsia="仿宋" w:cs="仿宋"/>
          <w:i w:val="0"/>
          <w:iCs w:val="0"/>
          <w:caps w:val="0"/>
          <w:color w:val="auto"/>
          <w:spacing w:val="0"/>
          <w:sz w:val="32"/>
          <w:szCs w:val="32"/>
          <w:shd w:val="clear" w:fill="FFFFFF"/>
        </w:rPr>
        <w:t>周边增加必要的防护隔离、防盗监控设施，同时加强宣传引导</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rPr>
        <w:t>电动车充电隐患不绝，既有居民自身的原因，也有执法的问题。一方面，个体对《消防法》缺少敬畏；另一方面，执法部门进入小区执法有一定难度，主观上对直接面对群众也有顾虑。消防执法部门发现隐患，只针对物业和产权管理单位执法，很少针对个人开出罚单，而管理单位针对违法个人只能忠告、劝说，作用有限。另一方面着力增加</w:t>
      </w:r>
      <w:r>
        <w:rPr>
          <w:rFonts w:hint="eastAsia" w:ascii="仿宋" w:hAnsi="仿宋" w:eastAsia="仿宋" w:cs="仿宋"/>
          <w:i w:val="0"/>
          <w:iCs w:val="0"/>
          <w:caps w:val="0"/>
          <w:color w:val="auto"/>
          <w:spacing w:val="0"/>
          <w:sz w:val="32"/>
          <w:szCs w:val="32"/>
          <w:shd w:val="clear" w:fill="FFFFFF"/>
          <w:lang w:eastAsia="zh-CN"/>
        </w:rPr>
        <w:t>公共场所</w:t>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shd w:val="clear" w:fill="FFFFFF"/>
          <w:lang w:eastAsia="zh-CN"/>
        </w:rPr>
        <w:t>企事业</w:t>
      </w:r>
      <w:r>
        <w:rPr>
          <w:rFonts w:hint="eastAsia" w:ascii="仿宋" w:hAnsi="仿宋" w:eastAsia="仿宋" w:cs="仿宋"/>
          <w:i w:val="0"/>
          <w:iCs w:val="0"/>
          <w:caps w:val="0"/>
          <w:color w:val="auto"/>
          <w:spacing w:val="0"/>
          <w:sz w:val="32"/>
          <w:szCs w:val="32"/>
          <w:shd w:val="clear" w:fill="FFFFFF"/>
        </w:rPr>
        <w:t>单位附近开阔地段充电桩数量，并严格控制充电价格，鼓励群众在工作单位和公共区域充电。建设符合规范的安全充电设施，加强部门间协同</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rPr>
        <w:t>解决居民小区特别是老旧小区加装电动自行车充电</w:t>
      </w:r>
      <w:r>
        <w:rPr>
          <w:rFonts w:hint="eastAsia" w:ascii="仿宋" w:hAnsi="仿宋" w:eastAsia="仿宋" w:cs="仿宋"/>
          <w:i w:val="0"/>
          <w:iCs w:val="0"/>
          <w:caps w:val="0"/>
          <w:color w:val="auto"/>
          <w:spacing w:val="0"/>
          <w:sz w:val="32"/>
          <w:szCs w:val="32"/>
          <w:shd w:val="clear" w:fill="FFFFFF"/>
          <w:lang w:eastAsia="zh-CN"/>
        </w:rPr>
        <w:t>桩（站）</w:t>
      </w:r>
      <w:r>
        <w:rPr>
          <w:rFonts w:hint="eastAsia" w:ascii="仿宋" w:hAnsi="仿宋" w:eastAsia="仿宋" w:cs="仿宋"/>
          <w:i w:val="0"/>
          <w:iCs w:val="0"/>
          <w:caps w:val="0"/>
          <w:color w:val="auto"/>
          <w:spacing w:val="0"/>
          <w:sz w:val="32"/>
          <w:szCs w:val="32"/>
          <w:shd w:val="clear" w:fill="FFFFFF"/>
        </w:rPr>
        <w:t>时遇到的空间不足、无处建设、审批流程等问题，打通属地政府、电网、消防、物业等多部门间的“壁垒”，劲往一处使，在确保安全的基础上，尽可能简化各种审批流程，把充电</w:t>
      </w:r>
      <w:r>
        <w:rPr>
          <w:rFonts w:hint="eastAsia" w:ascii="仿宋" w:hAnsi="仿宋" w:eastAsia="仿宋" w:cs="仿宋"/>
          <w:i w:val="0"/>
          <w:iCs w:val="0"/>
          <w:caps w:val="0"/>
          <w:color w:val="auto"/>
          <w:spacing w:val="0"/>
          <w:sz w:val="32"/>
          <w:szCs w:val="32"/>
          <w:shd w:val="clear" w:fill="FFFFFF"/>
          <w:lang w:eastAsia="zh-CN"/>
        </w:rPr>
        <w:t>桩（站）</w:t>
      </w:r>
      <w:r>
        <w:rPr>
          <w:rFonts w:hint="eastAsia" w:ascii="仿宋" w:hAnsi="仿宋" w:eastAsia="仿宋" w:cs="仿宋"/>
          <w:i w:val="0"/>
          <w:iCs w:val="0"/>
          <w:caps w:val="0"/>
          <w:color w:val="auto"/>
          <w:spacing w:val="0"/>
          <w:sz w:val="32"/>
          <w:szCs w:val="32"/>
          <w:shd w:val="clear" w:fill="FFFFFF"/>
        </w:rPr>
        <w:t>建好。</w:t>
      </w:r>
    </w:p>
    <w:p w14:paraId="24DFBE0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color w:val="auto"/>
        </w:rPr>
      </w:pPr>
      <w:r>
        <w:rPr>
          <w:rFonts w:hint="eastAsia" w:ascii="仿宋_GB2312" w:hAnsi="仿宋_GB2312" w:eastAsia="仿宋_GB2312" w:cs="仿宋_GB2312"/>
          <w:color w:val="auto"/>
          <w:spacing w:val="0"/>
          <w:sz w:val="32"/>
          <w:szCs w:val="32"/>
          <w:lang w:eastAsia="zh-CN"/>
        </w:rPr>
        <w:t>以上意见，供贵单位在正式答复</w:t>
      </w:r>
      <w:r>
        <w:rPr>
          <w:rFonts w:hint="eastAsia" w:ascii="仿宋_GB2312" w:eastAsia="仿宋_GB2312" w:cs="仿宋_GB2312"/>
          <w:i w:val="0"/>
          <w:caps w:val="0"/>
          <w:color w:val="auto"/>
          <w:spacing w:val="0"/>
          <w:kern w:val="0"/>
          <w:sz w:val="32"/>
          <w:szCs w:val="32"/>
          <w:lang w:val="en-US" w:eastAsia="zh-CN" w:bidi="ar"/>
        </w:rPr>
        <w:t>尹萍委员</w:t>
      </w:r>
      <w:r>
        <w:rPr>
          <w:rFonts w:hint="eastAsia" w:ascii="仿宋_GB2312" w:hAnsi="仿宋_GB2312" w:eastAsia="仿宋_GB2312" w:cs="仿宋_GB2312"/>
          <w:color w:val="auto"/>
          <w:spacing w:val="0"/>
          <w:sz w:val="32"/>
          <w:szCs w:val="32"/>
          <w:lang w:eastAsia="zh-CN"/>
        </w:rPr>
        <w:t>时参考。</w:t>
      </w:r>
    </w:p>
    <w:p w14:paraId="22631BA5">
      <w:pPr>
        <w:pStyle w:val="7"/>
        <w:pageBreakBefore w:val="0"/>
        <w:kinsoku/>
        <w:wordWrap/>
        <w:overflowPunct/>
        <w:topLinePunct w:val="0"/>
        <w:autoSpaceDE/>
        <w:autoSpaceDN/>
        <w:bidi w:val="0"/>
        <w:adjustRightInd/>
        <w:snapToGrid/>
        <w:spacing w:line="480" w:lineRule="exact"/>
        <w:textAlignment w:val="auto"/>
        <w:rPr>
          <w:rFonts w:hint="eastAsia"/>
          <w:color w:val="auto"/>
        </w:rPr>
      </w:pPr>
    </w:p>
    <w:p w14:paraId="3B20042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签发领导：</w:t>
      </w:r>
      <w:r>
        <w:rPr>
          <w:rFonts w:hint="eastAsia" w:ascii="仿宋_GB2312" w:hAnsi="仿宋_GB2312" w:eastAsia="仿宋_GB2312" w:cs="仿宋_GB2312"/>
          <w:color w:val="auto"/>
          <w:sz w:val="32"/>
          <w:szCs w:val="32"/>
          <w:lang w:eastAsia="zh-CN"/>
        </w:rPr>
        <w:t>黎明</w:t>
      </w:r>
    </w:p>
    <w:p w14:paraId="1DC64FD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承办人员：</w:t>
      </w:r>
      <w:r>
        <w:rPr>
          <w:rFonts w:hint="eastAsia" w:ascii="仿宋_GB2312" w:hAnsi="仿宋_GB2312" w:eastAsia="仿宋_GB2312" w:cs="仿宋_GB2312"/>
          <w:color w:val="auto"/>
          <w:sz w:val="32"/>
          <w:szCs w:val="32"/>
          <w:lang w:eastAsia="zh-CN"/>
        </w:rPr>
        <w:t>潘勤</w:t>
      </w:r>
    </w:p>
    <w:p w14:paraId="2AFE009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联系电话：</w:t>
      </w:r>
      <w:r>
        <w:rPr>
          <w:rFonts w:hint="eastAsia" w:ascii="仿宋_GB2312" w:hAnsi="仿宋_GB2312" w:eastAsia="仿宋_GB2312" w:cs="仿宋_GB2312"/>
          <w:color w:val="auto"/>
          <w:sz w:val="32"/>
          <w:szCs w:val="32"/>
          <w:lang w:val="en-US" w:eastAsia="zh-CN"/>
        </w:rPr>
        <w:t>0743-6222272</w:t>
      </w:r>
    </w:p>
    <w:p w14:paraId="164ACFBB">
      <w:pPr>
        <w:pStyle w:val="6"/>
        <w:pageBreakBefore w:val="0"/>
        <w:kinsoku/>
        <w:wordWrap/>
        <w:overflowPunct/>
        <w:topLinePunct w:val="0"/>
        <w:autoSpaceDE/>
        <w:autoSpaceDN/>
        <w:bidi w:val="0"/>
        <w:adjustRightInd/>
        <w:snapToGrid/>
        <w:spacing w:line="480" w:lineRule="exact"/>
        <w:textAlignment w:val="auto"/>
        <w:rPr>
          <w:rFonts w:hint="eastAsia"/>
          <w:color w:val="auto"/>
          <w:lang w:val="en-US" w:eastAsia="zh-CN"/>
        </w:rPr>
      </w:pPr>
    </w:p>
    <w:p w14:paraId="1B5C0E8F">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center"/>
        <w:textAlignment w:val="auto"/>
        <w:outlineLvl w:val="9"/>
        <w:rPr>
          <w:rFonts w:hint="eastAsia" w:ascii="仿宋_GB2312" w:hAnsi="仿宋_GB2312" w:eastAsia="仿宋_GB2312" w:cs="仿宋_GB2312"/>
          <w:color w:val="auto"/>
          <w:sz w:val="32"/>
          <w:szCs w:val="32"/>
          <w:lang w:val="en-US" w:eastAsia="zh-CN"/>
        </w:rPr>
      </w:pPr>
    </w:p>
    <w:p w14:paraId="09952F0E">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龙山县住房和城乡建设局</w:t>
      </w:r>
    </w:p>
    <w:p w14:paraId="669254F3">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2025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日</w:t>
      </w:r>
    </w:p>
    <w:p w14:paraId="3115BF5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sz w:val="32"/>
          <w:szCs w:val="32"/>
          <w:u w:val="single"/>
        </w:rPr>
      </w:pPr>
    </w:p>
    <w:p w14:paraId="498731A3">
      <w:pPr>
        <w:pageBreakBefore w:val="0"/>
        <w:kinsoku/>
        <w:wordWrap/>
        <w:overflowPunct/>
        <w:topLinePunct w:val="0"/>
        <w:autoSpaceDE/>
        <w:autoSpaceDN/>
        <w:bidi w:val="0"/>
        <w:adjustRightInd/>
        <w:snapToGrid/>
        <w:spacing w:line="48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77948C0F"/>
    <w:multiLevelType w:val="singleLevel"/>
    <w:tmpl w:val="77948C0F"/>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45990"/>
    <w:rsid w:val="02421880"/>
    <w:rsid w:val="1DD0446F"/>
    <w:rsid w:val="1EF416B2"/>
    <w:rsid w:val="32107ED0"/>
    <w:rsid w:val="333120AB"/>
    <w:rsid w:val="42D45990"/>
    <w:rsid w:val="49FD55D1"/>
    <w:rsid w:val="5B111144"/>
    <w:rsid w:val="60AD043C"/>
    <w:rsid w:val="74B13FC3"/>
    <w:rsid w:val="75271ADB"/>
    <w:rsid w:val="75C85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szCs w:val="18"/>
    </w:rPr>
  </w:style>
  <w:style w:type="paragraph" w:customStyle="1" w:styleId="3">
    <w:name w:val="Index5"/>
    <w:basedOn w:val="1"/>
    <w:next w:val="1"/>
    <w:qFormat/>
    <w:uiPriority w:val="0"/>
    <w:pPr>
      <w:spacing w:line="240" w:lineRule="auto"/>
      <w:ind w:left="1680"/>
      <w:jc w:val="both"/>
    </w:pPr>
    <w:rPr>
      <w:rFonts w:ascii="Times New Roman" w:hAnsi="Times New Roman"/>
      <w:kern w:val="2"/>
      <w:sz w:val="21"/>
      <w:szCs w:val="24"/>
      <w:lang w:val="en-US" w:eastAsia="zh-CN" w:bidi="ar-SA"/>
    </w:rPr>
  </w:style>
  <w:style w:type="paragraph" w:customStyle="1" w:styleId="6">
    <w:name w:val="标题 5（有编号）（绿盟科技）"/>
    <w:basedOn w:val="1"/>
    <w:next w:val="7"/>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7">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2177</Words>
  <Characters>2203</Characters>
  <Lines>0</Lines>
  <Paragraphs>0</Paragraphs>
  <TotalTime>4</TotalTime>
  <ScaleCrop>false</ScaleCrop>
  <LinksUpToDate>false</LinksUpToDate>
  <CharactersWithSpaces>2248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2025-04-18T03:41:00Z</dcterms:created>
  <dc:creator> 元寶  </dc:creator>
  <cp:lastModifiedBy>安静..</cp:lastModifiedBy>
  <cp:lastPrinted>2025-04-21T04:26:00Z</cp:lastPrinted>
  <dcterms:modified xsi:type="dcterms:W3CDTF">2025-05-12T01:33:42Z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1444AD093C51448483F55D538DF36CFC_13</vt:lpwstr>
  </property>
  <property fmtid="{D5CDD505-2E9C-101B-9397-08002B2CF9AE}" pid="4" name="KSOTemplateDocerSaveRecord">
    <vt:lpwstr>eyJoZGlkIjoiYzQ1YzBiNWQ5ZmNhZGI2NTg2Mzk1MGE2MDNlN2ExNTMiLCJ1c2VySWQiOiI2MzgyNjI2NDcifQ==</vt:lpwstr>
  </property>
</Properties>
</file>